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540078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962996-9eae-4b29-807c-6d440604dec5" w:id="1"/>
      <w:r>
        <w:rPr>
          <w:rFonts w:ascii="Times New Roman" w:hAnsi="Times New Roman"/>
          <w:b/>
          <w:i w:val="false"/>
          <w:color w:val="000000"/>
          <w:sz w:val="28"/>
        </w:rPr>
        <w:t>Министерство образования и науки Республики Бурятия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244f056-0231-4322-a014-8dcea54eab13" w:id="2"/>
      <w:r>
        <w:rPr>
          <w:rFonts w:ascii="Times New Roman" w:hAnsi="Times New Roman"/>
          <w:b/>
          <w:i w:val="false"/>
          <w:color w:val="000000"/>
          <w:sz w:val="28"/>
        </w:rPr>
        <w:t>Муниципальное образование "Город Северобайкальск"</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МАОУ СОШ № 3</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Алтунина И.В.</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И.о.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Оводнева А.П.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2082597)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a5bb89e-7d9f-4fc4-a1ba-c6bd09c19ff7" w:id="3"/>
      <w:r>
        <w:rPr>
          <w:rFonts w:ascii="Times New Roman" w:hAnsi="Times New Roman"/>
          <w:b/>
          <w:i w:val="false"/>
          <w:color w:val="000000"/>
          <w:sz w:val="28"/>
        </w:rPr>
        <w:t xml:space="preserve">г.Северобайкальск </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5400780" w:id="5"/>
    <w:p>
      <w:pPr>
        <w:sectPr>
          <w:pgSz w:w="11906" w:h="16383" w:orient="portrait"/>
        </w:sectPr>
      </w:pPr>
    </w:p>
    <w:bookmarkEnd w:id="5"/>
    <w:bookmarkEnd w:id="0"/>
    <w:bookmarkStart w:name="block-1540078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r>
        <w:rPr>
          <w:rFonts w:ascii="Times New Roman" w:hAnsi="Times New Roman"/>
          <w:b w:val="false"/>
          <w:i w:val="false"/>
          <w:color w:val="000000"/>
          <w:sz w:val="28"/>
        </w:rPr>
        <w:t>‌</w:t>
      </w: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5400781" w:id="8"/>
    <w:p>
      <w:pPr>
        <w:sectPr>
          <w:pgSz w:w="11906" w:h="16383" w:orient="portrait"/>
        </w:sectPr>
      </w:pPr>
    </w:p>
    <w:bookmarkEnd w:id="8"/>
    <w:bookmarkEnd w:id="6"/>
    <w:bookmarkStart w:name="block-15400778"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15400778" w:id="10"/>
    <w:p>
      <w:pPr>
        <w:sectPr>
          <w:pgSz w:w="11906" w:h="16383" w:orient="portrait"/>
        </w:sectPr>
      </w:pPr>
    </w:p>
    <w:bookmarkEnd w:id="10"/>
    <w:bookmarkEnd w:id="9"/>
    <w:bookmarkStart w:name="block-15400779"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15400779" w:id="13"/>
    <w:p>
      <w:pPr>
        <w:sectPr>
          <w:pgSz w:w="11906" w:h="16383" w:orient="portrait"/>
        </w:sectPr>
      </w:pPr>
    </w:p>
    <w:bookmarkEnd w:id="13"/>
    <w:bookmarkEnd w:id="11"/>
    <w:bookmarkStart w:name="block-15400782"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15400782" w:id="15"/>
    <w:p>
      <w:pPr>
        <w:sectPr>
          <w:pgSz w:w="16383" w:h="11906" w:orient="landscape"/>
        </w:sectPr>
      </w:pPr>
    </w:p>
    <w:bookmarkEnd w:id="15"/>
    <w:bookmarkEnd w:id="14"/>
    <w:bookmarkStart w:name="block-15400783"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 Неопределяемые понятия планиметрии. Аксиомы планиметрии.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Луч и угол</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отрезков и углов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отрезков. Единицы длины. Измерительные инструменты.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углов. Транспортир. Градусная мера угла.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прямые. Смежные и вертикальные углы.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величин.Вычисление длины отрезков и углов.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80" w:type="dxa"/>
            <w:tcBorders/>
            <w:tcMar>
              <w:top w:w="50" w:type="dxa"/>
              <w:left w:w="100" w:type="dxa"/>
            </w:tcMar>
            <w:vAlign w:val="center"/>
          </w:tcPr>
          <w:p>
            <w:pPr>
              <w:spacing w:before="0" w:after="0"/>
              <w:ind w:left="135"/>
              <w:jc w:val="left"/>
            </w:pPr>
          </w:p>
        </w:tc>
      </w:tr>
      <w:tr>
        <w:trPr>
          <w:trHeight w:val="19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217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 Задачи на квадратной решетке из КИМов ОГЭ задание № 18..</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80" w:type="dxa"/>
            <w:tcBorders/>
            <w:tcMar>
              <w:top w:w="50" w:type="dxa"/>
              <w:left w:w="100" w:type="dxa"/>
            </w:tcMar>
            <w:vAlign w:val="center"/>
          </w:tcPr>
          <w:p>
            <w:pPr>
              <w:spacing w:before="0" w:after="0"/>
              <w:ind w:left="135"/>
              <w:jc w:val="left"/>
            </w:pPr>
          </w:p>
        </w:tc>
      </w:tr>
      <w:tr>
        <w:trPr>
          <w:trHeight w:val="244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 и треугольников. Задачи на квадратной решетке из КИМов ОГЭ задание № 18.</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80" w:type="dxa"/>
            <w:tcBorders/>
            <w:tcMar>
              <w:top w:w="50" w:type="dxa"/>
              <w:left w:w="100" w:type="dxa"/>
            </w:tcMar>
            <w:vAlign w:val="center"/>
          </w:tcPr>
          <w:p>
            <w:pPr>
              <w:spacing w:before="0" w:after="0"/>
              <w:ind w:left="135"/>
              <w:jc w:val="left"/>
            </w:pPr>
          </w:p>
        </w:tc>
      </w:tr>
      <w:tr>
        <w:trPr>
          <w:trHeight w:val="244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 и треугольников. Задачи на квадратной решетке из КИМов ОГЭ задание № 18.</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80" w:type="dxa"/>
            <w:tcBorders/>
            <w:tcMar>
              <w:top w:w="50" w:type="dxa"/>
              <w:left w:w="100" w:type="dxa"/>
            </w:tcMar>
            <w:vAlign w:val="center"/>
          </w:tcPr>
          <w:p>
            <w:pPr>
              <w:spacing w:before="0" w:after="0"/>
              <w:ind w:left="135"/>
              <w:jc w:val="left"/>
            </w:pPr>
          </w:p>
        </w:tc>
      </w:tr>
      <w:tr>
        <w:trPr>
          <w:trHeight w:val="244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 треугольников. Задачи на квадратной решетке из КИМов ЕГЭ задание № 18.</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признак равенства треугольников.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признак равенства треугольников.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23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к прямой. Наклонная. Построение прямых углов на местности.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Медианы, биссектрисы и высоты треугольников.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Медианы, биссектрисы и высоты треугольников.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80" w:type="dxa"/>
            <w:tcBorders/>
            <w:tcMar>
              <w:top w:w="50" w:type="dxa"/>
              <w:left w:w="100" w:type="dxa"/>
            </w:tcMar>
            <w:vAlign w:val="center"/>
          </w:tcPr>
          <w:p>
            <w:pPr>
              <w:spacing w:before="0" w:after="0"/>
              <w:ind w:left="135"/>
              <w:jc w:val="left"/>
            </w:pPr>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Равносторонние и равнобедренные треугольники. Признаки и свойства равнобедренного треугольника.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и третий признаки равенства треугольников.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и третий признаки равенства треугольников.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217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Остроугольный, прямоугольный, тупоугольный треугольники. Соотношение между сторонами и углами треугольника.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соотношениях между сторонати и углами треугольника.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Неравенство треугольника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80" w:type="dxa"/>
            <w:tcBorders/>
            <w:tcMar>
              <w:top w:w="50" w:type="dxa"/>
              <w:left w:w="100" w:type="dxa"/>
            </w:tcMar>
            <w:vAlign w:val="center"/>
          </w:tcPr>
          <w:p>
            <w:pPr>
              <w:spacing w:before="0" w:after="0"/>
              <w:ind w:left="135"/>
              <w:jc w:val="left"/>
            </w:pPr>
          </w:p>
        </w:tc>
      </w:tr>
      <w:tr>
        <w:trPr>
          <w:trHeight w:val="17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Прямоугольные треугольники, их виды. Некоторые свойства прямоугольных треугольников.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Медиана прямоугольного треугольника, проведенная из вершины прямого угла к гипотенузе.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80" w:type="dxa"/>
            <w:tcBorders/>
            <w:tcMar>
              <w:top w:w="50" w:type="dxa"/>
              <w:left w:w="100" w:type="dxa"/>
            </w:tcMar>
            <w:vAlign w:val="center"/>
          </w:tcPr>
          <w:p>
            <w:pPr>
              <w:spacing w:before="0" w:after="0"/>
              <w:ind w:left="135"/>
              <w:jc w:val="left"/>
            </w:pPr>
          </w:p>
        </w:tc>
      </w:tr>
      <w:tr>
        <w:trPr>
          <w:trHeight w:val="217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17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80" w:type="dxa"/>
            <w:tcBorders/>
            <w:tcMar>
              <w:top w:w="50" w:type="dxa"/>
              <w:left w:w="100" w:type="dxa"/>
            </w:tcMar>
            <w:vAlign w:val="center"/>
          </w:tcPr>
          <w:p>
            <w:pPr>
              <w:spacing w:before="0" w:after="0"/>
              <w:ind w:left="135"/>
              <w:jc w:val="left"/>
            </w:pPr>
          </w:p>
        </w:tc>
      </w:tr>
      <w:tr>
        <w:trPr>
          <w:trHeight w:val="217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80" w:type="dxa"/>
            <w:tcBorders/>
            <w:tcMar>
              <w:top w:w="50" w:type="dxa"/>
              <w:left w:w="100" w:type="dxa"/>
            </w:tcMar>
            <w:vAlign w:val="center"/>
          </w:tcPr>
          <w:p>
            <w:pPr>
              <w:spacing w:before="0" w:after="0"/>
              <w:ind w:left="135"/>
              <w:jc w:val="left"/>
            </w:pPr>
          </w:p>
        </w:tc>
      </w:tr>
      <w:tr>
        <w:trPr>
          <w:trHeight w:val="217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80" w:type="dxa"/>
            <w:tcBorders/>
            <w:tcMar>
              <w:top w:w="50" w:type="dxa"/>
              <w:left w:w="100" w:type="dxa"/>
            </w:tcMar>
            <w:vAlign w:val="center"/>
          </w:tcPr>
          <w:p>
            <w:pPr>
              <w:spacing w:before="0" w:after="0"/>
              <w:ind w:left="135"/>
              <w:jc w:val="left"/>
            </w:pPr>
          </w:p>
        </w:tc>
      </w:tr>
      <w:tr>
        <w:trPr>
          <w:trHeight w:val="217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80" w:type="dxa"/>
            <w:tcBorders/>
            <w:tcMar>
              <w:top w:w="50" w:type="dxa"/>
              <w:left w:w="100" w:type="dxa"/>
            </w:tcMar>
            <w:vAlign w:val="center"/>
          </w:tcPr>
          <w:p>
            <w:pPr>
              <w:spacing w:before="0" w:after="0"/>
              <w:ind w:left="135"/>
              <w:jc w:val="left"/>
            </w:pPr>
          </w:p>
        </w:tc>
      </w:tr>
      <w:tr>
        <w:trPr>
          <w:trHeight w:val="217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80" w:type="dxa"/>
            <w:tcBorders/>
            <w:tcMar>
              <w:top w:w="50" w:type="dxa"/>
              <w:left w:w="100" w:type="dxa"/>
            </w:tcMar>
            <w:vAlign w:val="center"/>
          </w:tcPr>
          <w:p>
            <w:pPr>
              <w:spacing w:before="0" w:after="0"/>
              <w:ind w:left="135"/>
              <w:jc w:val="left"/>
            </w:pP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 и описанная около треугольника.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108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12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35" w:type="dxa"/>
            <w:tcBorders/>
            <w:tcMar>
              <w:top w:w="50" w:type="dxa"/>
              <w:left w:w="100" w:type="dxa"/>
            </w:tcMar>
            <w:vAlign w:val="center"/>
          </w:tcPr>
          <w:p>
            <w:pPr>
              <w:spacing w:before="0" w:after="0"/>
              <w:ind w:left="135"/>
              <w:jc w:val="left"/>
            </w:pPr>
          </w:p>
        </w:tc>
      </w:tr>
      <w:tr>
        <w:trPr>
          <w:trHeight w:val="9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35" w:type="dxa"/>
            <w:tcBorders/>
            <w:tcMar>
              <w:top w:w="50" w:type="dxa"/>
              <w:left w:w="100" w:type="dxa"/>
            </w:tcMar>
            <w:vAlign w:val="center"/>
          </w:tcPr>
          <w:p>
            <w:pPr>
              <w:spacing w:before="0" w:after="0"/>
              <w:ind w:left="135"/>
              <w:jc w:val="left"/>
            </w:pPr>
          </w:p>
        </w:tc>
      </w:tr>
      <w:tr>
        <w:trPr>
          <w:trHeight w:val="27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48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13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1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5400783" w:id="17"/>
    <w:p>
      <w:pPr>
        <w:sectPr>
          <w:pgSz w:w="16383" w:h="11906" w:orient="landscape"/>
        </w:sectPr>
      </w:pPr>
    </w:p>
    <w:bookmarkEnd w:id="17"/>
    <w:bookmarkEnd w:id="16"/>
    <w:bookmarkStart w:name="block-15400784"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cdc3876-571e-4ea9-a1d0-6bf3dde3985b" w:id="19"/>
      <w:r>
        <w:rPr>
          <w:rFonts w:ascii="Times New Roman" w:hAnsi="Times New Roman"/>
          <w:b w:val="false"/>
          <w:i w:val="false"/>
          <w:color w:val="000000"/>
          <w:sz w:val="28"/>
        </w:rPr>
        <w:t>• Геометрия, 7-9 классы/ Атанасян Л.С., Бутузов В.Ф., Кадомцев С.Б. и другие, Акционерное общество «Издательство «Просвещение»</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810f2c24-8c1c-4af1-98b4-b34d2846533f" w:id="20"/>
      <w:r>
        <w:rPr>
          <w:rFonts w:ascii="Times New Roman" w:hAnsi="Times New Roman"/>
          <w:b w:val="false"/>
          <w:i w:val="false"/>
          <w:color w:val="000000"/>
          <w:sz w:val="28"/>
        </w:rPr>
        <w:t xml:space="preserve">Б.Г. Зив, В.М. Мейлер "Дидактические материалы" </w:t>
      </w:r>
      <w:bookmarkEnd w:id="20"/>
      <w:r>
        <w:rPr>
          <w:sz w:val="28"/>
        </w:rPr>
        <w:br/>
      </w:r>
      <w:bookmarkStart w:name="810f2c24-8c1c-4af1-98b4-b34d2846533f" w:id="21"/>
      <w:r>
        <w:rPr>
          <w:rFonts w:ascii="Times New Roman" w:hAnsi="Times New Roman"/>
          <w:b w:val="false"/>
          <w:i w:val="false"/>
          <w:color w:val="000000"/>
          <w:sz w:val="28"/>
        </w:rPr>
        <w:t xml:space="preserve"> С.М. Саврасова, Г.А. Ястребинецкий " Упражнения по планиметрии на готовых чертежах"</w:t>
      </w:r>
      <w:bookmarkEnd w:id="21"/>
      <w:r>
        <w:rPr>
          <w:sz w:val="28"/>
        </w:rPr>
        <w:br/>
      </w:r>
      <w:bookmarkStart w:name="810f2c24-8c1c-4af1-98b4-b34d2846533f" w:id="22"/>
      <w:r>
        <w:rPr>
          <w:rFonts w:ascii="Times New Roman" w:hAnsi="Times New Roman"/>
          <w:b w:val="false"/>
          <w:i w:val="false"/>
          <w:color w:val="000000"/>
          <w:sz w:val="28"/>
        </w:rPr>
        <w:t xml:space="preserve"> Л.С. Атанасян, В.Ф.Бутузов, Ю.А. Глазков "Методические рекомендации"</w:t>
      </w:r>
      <w:bookmarkEnd w:id="22"/>
      <w:r>
        <w:rPr>
          <w:sz w:val="28"/>
        </w:rPr>
        <w:br/>
      </w:r>
      <w:bookmarkStart w:name="810f2c24-8c1c-4af1-98b4-b34d2846533f" w:id="23"/>
      <w:r>
        <w:rPr>
          <w:rFonts w:ascii="Times New Roman" w:hAnsi="Times New Roman"/>
          <w:b w:val="false"/>
          <w:i w:val="false"/>
          <w:color w:val="000000"/>
          <w:sz w:val="28"/>
        </w:rPr>
        <w:t xml:space="preserve"> В.И. Рыжик "Диагностические тесты"</w:t>
      </w:r>
      <w:bookmarkEnd w:id="23"/>
      <w:r>
        <w:rPr>
          <w:sz w:val="28"/>
        </w:rPr>
        <w:br/>
      </w:r>
      <w:bookmarkStart w:name="810f2c24-8c1c-4af1-98b4-b34d2846533f" w:id="24"/>
      <w:r>
        <w:rPr>
          <w:rFonts w:ascii="Times New Roman" w:hAnsi="Times New Roman"/>
          <w:b w:val="false"/>
          <w:i w:val="false"/>
          <w:color w:val="000000"/>
          <w:sz w:val="28"/>
        </w:rPr>
        <w:t xml:space="preserve"> М.А. Иченская "Самостоятельные и контрольные работы"</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0cfb5cb7-6334-48ba-8ea7-205ab2d8be80" w:id="25"/>
      <w:r>
        <w:rPr>
          <w:rFonts w:ascii="Times New Roman" w:hAnsi="Times New Roman"/>
          <w:b w:val="false"/>
          <w:i w:val="false"/>
          <w:color w:val="000000"/>
          <w:sz w:val="28"/>
        </w:rPr>
        <w:t>Учи.ру</w:t>
      </w:r>
      <w:bookmarkEnd w:id="25"/>
      <w:r>
        <w:rPr>
          <w:sz w:val="28"/>
        </w:rPr>
        <w:br/>
      </w:r>
      <w:bookmarkStart w:name="0cfb5cb7-6334-48ba-8ea7-205ab2d8be80" w:id="26"/>
      <w:r>
        <w:rPr>
          <w:rFonts w:ascii="Times New Roman" w:hAnsi="Times New Roman"/>
          <w:b w:val="false"/>
          <w:i w:val="false"/>
          <w:color w:val="000000"/>
          <w:sz w:val="28"/>
        </w:rPr>
        <w:t xml:space="preserve"> Знанио</w:t>
      </w:r>
      <w:bookmarkEnd w:id="26"/>
      <w:r>
        <w:rPr>
          <w:sz w:val="28"/>
        </w:rPr>
        <w:br/>
      </w:r>
      <w:bookmarkStart w:name="0cfb5cb7-6334-48ba-8ea7-205ab2d8be80" w:id="27"/>
      <w:r>
        <w:rPr>
          <w:rFonts w:ascii="Times New Roman" w:hAnsi="Times New Roman"/>
          <w:b w:val="false"/>
          <w:i w:val="false"/>
          <w:color w:val="000000"/>
          <w:sz w:val="28"/>
        </w:rPr>
        <w:t xml:space="preserve"> Решу ЕГЭ</w:t>
      </w:r>
      <w:bookmarkEnd w:id="27"/>
      <w:r>
        <w:rPr>
          <w:sz w:val="28"/>
        </w:rPr>
        <w:br/>
      </w:r>
      <w:bookmarkStart w:name="0cfb5cb7-6334-48ba-8ea7-205ab2d8be80" w:id="28"/>
      <w:r>
        <w:rPr>
          <w:rFonts w:ascii="Times New Roman" w:hAnsi="Times New Roman"/>
          <w:b w:val="false"/>
          <w:i w:val="false"/>
          <w:color w:val="000000"/>
          <w:sz w:val="28"/>
        </w:rPr>
        <w:t xml:space="preserve"> Инфоурок</w:t>
      </w:r>
      <w:bookmarkEnd w:id="28"/>
      <w:r>
        <w:rPr>
          <w:sz w:val="28"/>
        </w:rPr>
        <w:br/>
      </w:r>
      <w:bookmarkStart w:name="0cfb5cb7-6334-48ba-8ea7-205ab2d8be80" w:id="29"/>
      <w:r>
        <w:rPr>
          <w:rFonts w:ascii="Times New Roman" w:hAnsi="Times New Roman"/>
          <w:b w:val="false"/>
          <w:i w:val="false"/>
          <w:color w:val="000000"/>
          <w:sz w:val="28"/>
        </w:rPr>
        <w:t xml:space="preserve"> Skysmart класс</w:t>
      </w:r>
      <w:bookmarkEnd w:id="29"/>
      <w:r>
        <w:rPr>
          <w:sz w:val="28"/>
        </w:rPr>
        <w:br/>
      </w:r>
      <w:bookmarkStart w:name="0cfb5cb7-6334-48ba-8ea7-205ab2d8be80" w:id="30"/>
      <w:bookmarkEnd w:id="30"/>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5400784" w:id="31"/>
    <w:p>
      <w:pPr>
        <w:sectPr>
          <w:pgSz w:w="11906" w:h="16383" w:orient="portrait"/>
        </w:sectPr>
      </w:pPr>
    </w:p>
    <w:bookmarkEnd w:id="31"/>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